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3D" w:rsidRDefault="0000183D" w:rsidP="00B94A48">
      <w:pPr>
        <w:pStyle w:val="NormaleWeb"/>
        <w:jc w:val="center"/>
        <w:rPr>
          <w:color w:val="663300"/>
        </w:rPr>
      </w:pPr>
      <w:bookmarkStart w:id="0" w:name="Capitolo_IV"/>
    </w:p>
    <w:p w:rsidR="0000183D" w:rsidRDefault="0000183D" w:rsidP="00B94A48">
      <w:pPr>
        <w:pStyle w:val="NormaleWeb"/>
        <w:jc w:val="center"/>
        <w:rPr>
          <w:color w:val="663300"/>
        </w:rPr>
      </w:pPr>
    </w:p>
    <w:p w:rsidR="0000183D" w:rsidRDefault="0000183D" w:rsidP="00B94A48">
      <w:pPr>
        <w:pStyle w:val="NormaleWeb"/>
        <w:jc w:val="center"/>
        <w:rPr>
          <w:color w:val="663300"/>
        </w:rPr>
      </w:pPr>
    </w:p>
    <w:p w:rsidR="00B94A48" w:rsidRDefault="00B94A48" w:rsidP="00B94A48">
      <w:pPr>
        <w:pStyle w:val="NormaleWeb"/>
        <w:jc w:val="center"/>
      </w:pPr>
      <w:r>
        <w:rPr>
          <w:color w:val="663300"/>
        </w:rPr>
        <w:t>CONGREGAZIONE PER IL CULTO DIVINO</w:t>
      </w:r>
      <w:r>
        <w:rPr>
          <w:color w:val="663300"/>
        </w:rPr>
        <w:br/>
        <w:t>E LA DISCIPLINA DEI SACRAMENTI</w:t>
      </w:r>
    </w:p>
    <w:p w:rsidR="00B94A48" w:rsidRDefault="00B94A48" w:rsidP="00B94A48">
      <w:pPr>
        <w:pStyle w:val="NormaleWeb"/>
        <w:jc w:val="center"/>
      </w:pPr>
      <w:r>
        <w:rPr>
          <w:b/>
          <w:bCs/>
          <w:color w:val="663300"/>
          <w:sz w:val="27"/>
          <w:szCs w:val="27"/>
        </w:rPr>
        <w:t>ISTRUZIONE</w:t>
      </w:r>
    </w:p>
    <w:p w:rsidR="00B94A48" w:rsidRDefault="00B94A48" w:rsidP="00B94A48">
      <w:pPr>
        <w:pStyle w:val="NormaleWeb"/>
        <w:jc w:val="center"/>
      </w:pPr>
      <w:r>
        <w:rPr>
          <w:b/>
          <w:bCs/>
          <w:i/>
          <w:iCs/>
          <w:color w:val="663300"/>
          <w:sz w:val="27"/>
          <w:szCs w:val="27"/>
        </w:rPr>
        <w:t>Redemptionis sacramentum</w:t>
      </w:r>
    </w:p>
    <w:p w:rsidR="00B94A48" w:rsidRDefault="00B94A48" w:rsidP="00B94A48">
      <w:pPr>
        <w:pStyle w:val="NormaleWeb"/>
        <w:jc w:val="center"/>
      </w:pPr>
      <w:r>
        <w:rPr>
          <w:b/>
          <w:bCs/>
          <w:color w:val="663300"/>
        </w:rPr>
        <w:t>su alcune cose che si devono osservare ed evitare</w:t>
      </w:r>
      <w:r>
        <w:rPr>
          <w:b/>
          <w:bCs/>
          <w:color w:val="663300"/>
        </w:rPr>
        <w:br/>
        <w:t>circa la Santissima Eucaristia</w:t>
      </w:r>
    </w:p>
    <w:p w:rsidR="00B94A48" w:rsidRDefault="00B94A48" w:rsidP="00B94A48">
      <w:pPr>
        <w:pStyle w:val="NormaleWeb"/>
        <w:jc w:val="center"/>
      </w:pPr>
      <w:r>
        <w:rPr>
          <w:b/>
          <w:bCs/>
          <w:color w:val="663300"/>
        </w:rPr>
        <w:t>Capitolo IV</w:t>
      </w:r>
      <w:bookmarkEnd w:id="0"/>
    </w:p>
    <w:p w:rsidR="00B94A48" w:rsidRDefault="00B94A48" w:rsidP="00B94A48">
      <w:pPr>
        <w:pStyle w:val="NormaleWeb"/>
        <w:jc w:val="center"/>
      </w:pPr>
      <w:r>
        <w:rPr>
          <w:b/>
          <w:bCs/>
          <w:color w:val="663300"/>
        </w:rPr>
        <w:t>LA SANTA COMUNIONE</w:t>
      </w:r>
    </w:p>
    <w:p w:rsidR="00B94A48" w:rsidRDefault="00B94A48" w:rsidP="00B94A48">
      <w:pPr>
        <w:pStyle w:val="NormaleWeb"/>
      </w:pPr>
      <w:r>
        <w:rPr>
          <w:b/>
          <w:bCs/>
        </w:rPr>
        <w:t xml:space="preserve">1. Disposizioni per ricevere la santa Comunione </w:t>
      </w:r>
    </w:p>
    <w:p w:rsidR="00B94A48" w:rsidRDefault="00B94A48" w:rsidP="00B94A48">
      <w:pPr>
        <w:pStyle w:val="NormaleWeb"/>
      </w:pPr>
      <w:r>
        <w:rPr>
          <w:b/>
          <w:bCs/>
        </w:rPr>
        <w:t>2.  La distribuzione della santa Comunione</w:t>
      </w:r>
    </w:p>
    <w:p w:rsidR="00B94A48" w:rsidRDefault="00B94A48" w:rsidP="00B94A48">
      <w:pPr>
        <w:pStyle w:val="NormaleWeb"/>
      </w:pPr>
      <w:r>
        <w:t>[88.] I fedeli di solito ricevano la Comunione sacramentale dell’Eucaristia nella stessa Messa e al momento prescritto dal rito stesso della celebrazione, vale a dire immediatamente dopo la Comunione del Sacerdote celebrante.</w:t>
      </w:r>
      <w:bookmarkStart w:id="1" w:name="_ftnref172"/>
      <w:r w:rsidR="00255BB0">
        <w:fldChar w:fldCharType="begin"/>
      </w:r>
      <w:r>
        <w:instrText xml:space="preserve"> HYPERLINK "http://www.vatican.va/roman_curia/congregations/ccdds/documents/rc_con_ccdds_doc_20040423_redemptionis-sacramentum_it.html" \l "_ftn172" \o "" </w:instrText>
      </w:r>
      <w:r w:rsidR="00255BB0">
        <w:fldChar w:fldCharType="separate"/>
      </w:r>
      <w:r>
        <w:rPr>
          <w:rStyle w:val="Collegamentoipertestuale"/>
        </w:rPr>
        <w:t>[172]</w:t>
      </w:r>
      <w:r w:rsidR="00255BB0">
        <w:fldChar w:fldCharType="end"/>
      </w:r>
      <w:bookmarkEnd w:id="1"/>
      <w:r>
        <w:t xml:space="preserve"> Spetta al Sacerdote celebrante, eventualmente coadiuvato da altri Sacerdoti o dai Diaconi, distribuire la Comunione e la Messa non deve proseguire, se non una volta ultimata la Comunione dei fedeli. Soltanto laddove la necessità lo richieda, i ministri straordinari possono, a norma del diritto, aiutare il Sacerdote celebrante.</w:t>
      </w:r>
      <w:bookmarkStart w:id="2" w:name="_ftnref173"/>
      <w:r w:rsidR="00255BB0">
        <w:fldChar w:fldCharType="begin"/>
      </w:r>
      <w:r>
        <w:instrText xml:space="preserve"> HYPERLINK "http://www.vatican.va/roman_curia/congregations/ccdds/documents/rc_con_ccdds_doc_20040423_redemptionis-sacramentum_it.html" \l "_ftn173" \o "" </w:instrText>
      </w:r>
      <w:r w:rsidR="00255BB0">
        <w:fldChar w:fldCharType="separate"/>
      </w:r>
      <w:r>
        <w:rPr>
          <w:rStyle w:val="Collegamentoipertestuale"/>
        </w:rPr>
        <w:t>[173]</w:t>
      </w:r>
      <w:r w:rsidR="00255BB0">
        <w:fldChar w:fldCharType="end"/>
      </w:r>
      <w:bookmarkEnd w:id="2"/>
    </w:p>
    <w:p w:rsidR="00B94A48" w:rsidRDefault="00B94A48" w:rsidP="00B94A48">
      <w:pPr>
        <w:pStyle w:val="NormaleWeb"/>
      </w:pPr>
      <w:r>
        <w:t>[89.] Affinché, anche«per mezzo dei segni, la Comunione appaia meglio come partecipazione al Sacrificio che si celebra»,</w:t>
      </w:r>
      <w:bookmarkStart w:id="3" w:name="_ftnref174"/>
      <w:r w:rsidR="00255BB0">
        <w:fldChar w:fldCharType="begin"/>
      </w:r>
      <w:r>
        <w:instrText xml:space="preserve"> HYPERLINK "http://www.vatican.va/roman_curia/congregations/ccdds/documents/rc_con_ccdds_doc_20040423_redemptionis-sacramentum_it.html" \l "_ftn174" \o "" </w:instrText>
      </w:r>
      <w:r w:rsidR="00255BB0">
        <w:fldChar w:fldCharType="separate"/>
      </w:r>
      <w:r>
        <w:rPr>
          <w:rStyle w:val="Collegamentoipertestuale"/>
        </w:rPr>
        <w:t>[174]</w:t>
      </w:r>
      <w:r w:rsidR="00255BB0">
        <w:fldChar w:fldCharType="end"/>
      </w:r>
      <w:bookmarkEnd w:id="3"/>
      <w:r>
        <w:t xml:space="preserve"> è da preferirsi che i fedeli possano riceverla con ostie consacrate nella stessa Messa.</w:t>
      </w:r>
      <w:bookmarkStart w:id="4" w:name="_ftnref175"/>
      <w:r w:rsidR="00255BB0">
        <w:fldChar w:fldCharType="begin"/>
      </w:r>
      <w:r>
        <w:instrText xml:space="preserve"> HYPERLINK "http://www.vatican.va/roman_curia/congregations/ccdds/documents/rc_con_ccdds_doc_20040423_redemptionis-sacramentum_it.html" \l "_ftn175" \o "" </w:instrText>
      </w:r>
      <w:r w:rsidR="00255BB0">
        <w:fldChar w:fldCharType="separate"/>
      </w:r>
      <w:r>
        <w:rPr>
          <w:rStyle w:val="Collegamentoipertestuale"/>
        </w:rPr>
        <w:t>[175]</w:t>
      </w:r>
      <w:r w:rsidR="00255BB0">
        <w:fldChar w:fldCharType="end"/>
      </w:r>
      <w:bookmarkEnd w:id="4"/>
    </w:p>
    <w:p w:rsidR="00B94A48" w:rsidRDefault="00B94A48" w:rsidP="00B94A48">
      <w:pPr>
        <w:pStyle w:val="NormaleWeb"/>
      </w:pPr>
      <w:r>
        <w:t xml:space="preserve">[90.] «I fedeli si comunicano </w:t>
      </w:r>
      <w:r w:rsidRPr="00B94A48">
        <w:rPr>
          <w:b/>
        </w:rPr>
        <w:t>in ginocchio o in piedi</w:t>
      </w:r>
      <w:r>
        <w:t>, come stabilito dalla Conferenza dei Vescovi»,e confermato da parte della Sede Apostolica. «Quando però si comunicano stando in piedi, si raccomanda che, prima di ricevere il Sacramento, facciano la debita riverenza, da stabilire dalle stesse norme».</w:t>
      </w:r>
      <w:bookmarkStart w:id="5" w:name="_ftnref176"/>
      <w:r w:rsidR="00255BB0">
        <w:fldChar w:fldCharType="begin"/>
      </w:r>
      <w:r>
        <w:instrText xml:space="preserve"> HYPERLINK "http://www.vatican.va/roman_curia/congregations/ccdds/documents/rc_con_ccdds_doc_20040423_redemptionis-sacramentum_it.html" \l "_ftn176" \o "" </w:instrText>
      </w:r>
      <w:r w:rsidR="00255BB0">
        <w:fldChar w:fldCharType="separate"/>
      </w:r>
      <w:r>
        <w:rPr>
          <w:rStyle w:val="Collegamentoipertestuale"/>
        </w:rPr>
        <w:t>[176]</w:t>
      </w:r>
      <w:r w:rsidR="00255BB0">
        <w:fldChar w:fldCharType="end"/>
      </w:r>
      <w:bookmarkEnd w:id="5"/>
    </w:p>
    <w:p w:rsidR="00B94A48" w:rsidRPr="00B94A48" w:rsidRDefault="00B94A48" w:rsidP="00B94A48">
      <w:pPr>
        <w:pStyle w:val="NormaleWeb"/>
        <w:rPr>
          <w:b/>
        </w:rPr>
      </w:pPr>
      <w:r>
        <w:t>[91.] Nella distribuzione della santa Comunione è da ricordare che«i ministri sacri non possono negare i sacramenti a coloro che li chiedano opportunamente, siano disposti nel debito modo e non abbiano dal diritto la proibizione di riceverli».</w:t>
      </w:r>
      <w:bookmarkStart w:id="6" w:name="_ftnref177"/>
      <w:r w:rsidR="00255BB0">
        <w:fldChar w:fldCharType="begin"/>
      </w:r>
      <w:r>
        <w:instrText xml:space="preserve"> HYPERLINK "http://www.vatican.va/roman_curia/congregations/ccdds/documents/rc_con_ccdds_doc_20040423_redemptionis-sacramentum_it.html" \l "_ftn177" \o "" </w:instrText>
      </w:r>
      <w:r w:rsidR="00255BB0">
        <w:fldChar w:fldCharType="separate"/>
      </w:r>
      <w:r>
        <w:rPr>
          <w:rStyle w:val="Collegamentoipertestuale"/>
        </w:rPr>
        <w:t>[177]</w:t>
      </w:r>
      <w:r w:rsidR="00255BB0">
        <w:fldChar w:fldCharType="end"/>
      </w:r>
      <w:bookmarkEnd w:id="6"/>
      <w:r>
        <w:t xml:space="preserve"> Pertanto, ogni cattolico battezzato, che non sia impedito dal diritto, deve essere ammesso alla sacra comunione. </w:t>
      </w:r>
      <w:r w:rsidRPr="00B94A48">
        <w:rPr>
          <w:b/>
        </w:rPr>
        <w:t xml:space="preserve">Non è lecito, quindi, negare a un fedele la santa Comunione, per la semplice ragione, ad esempio, che egli vuole ricevere l’Eucaristia in ginocchio oppure in piedi. </w:t>
      </w:r>
    </w:p>
    <w:p w:rsidR="00B94A48" w:rsidRDefault="00B94A48" w:rsidP="00B94A48">
      <w:pPr>
        <w:pStyle w:val="NormaleWeb"/>
      </w:pPr>
      <w:r>
        <w:t>[92.] Benché ogni fedele abbia sempre il diritto di ricevere, a sua scelta, la santa Comunione in bocca,</w:t>
      </w:r>
      <w:bookmarkStart w:id="7" w:name="_ftnref178"/>
      <w:r w:rsidR="00255BB0">
        <w:fldChar w:fldCharType="begin"/>
      </w:r>
      <w:r>
        <w:instrText xml:space="preserve"> HYPERLINK "http://www.vatican.va/roman_curia/congregations/ccdds/documents/rc_con_ccdds_doc_20040423_redemptionis-sacramentum_it.html" \l "_ftn178" \o "" </w:instrText>
      </w:r>
      <w:r w:rsidR="00255BB0">
        <w:fldChar w:fldCharType="separate"/>
      </w:r>
      <w:r>
        <w:rPr>
          <w:rStyle w:val="Collegamentoipertestuale"/>
        </w:rPr>
        <w:t>[178]</w:t>
      </w:r>
      <w:r w:rsidR="00255BB0">
        <w:fldChar w:fldCharType="end"/>
      </w:r>
      <w:bookmarkEnd w:id="7"/>
      <w:r>
        <w:t xml:space="preserve"> se un comunicando, nelle regioni in cui la Conferenza dei Vescovi, con la conferma da parte della Sede Apostolica, lo abbia permesso, vuole ricevere il Sacramento sulla mano, gli sia distribuita la sacra ostia. Si badi, tuttavia, con particolare attenzione che il comunicando assuma </w:t>
      </w:r>
      <w:r>
        <w:lastRenderedPageBreak/>
        <w:t>subito l’ostia davanti al ministro, di modo che nessuno si allontani portando in mano le specie eucaristiche. Se c’è pericolo di profanazione, non sia distribuita la santa Comunione sulla mano dei fedeli.</w:t>
      </w:r>
      <w:bookmarkStart w:id="8" w:name="_ftnref179"/>
      <w:r w:rsidR="00255BB0">
        <w:fldChar w:fldCharType="begin"/>
      </w:r>
      <w:r>
        <w:instrText xml:space="preserve"> HYPERLINK "http://www.vatican.va/roman_curia/congregations/ccdds/documents/rc_con_ccdds_doc_20040423_redemptionis-sacramentum_it.html" \l "_ftn179" \o "" </w:instrText>
      </w:r>
      <w:r w:rsidR="00255BB0">
        <w:fldChar w:fldCharType="separate"/>
      </w:r>
      <w:r>
        <w:rPr>
          <w:rStyle w:val="Collegamentoipertestuale"/>
        </w:rPr>
        <w:t>[179]</w:t>
      </w:r>
      <w:r w:rsidR="00255BB0">
        <w:fldChar w:fldCharType="end"/>
      </w:r>
      <w:bookmarkEnd w:id="8"/>
    </w:p>
    <w:p w:rsidR="00B94A48" w:rsidRDefault="00B94A48" w:rsidP="00B94A48">
      <w:pPr>
        <w:pStyle w:val="NormaleWeb"/>
      </w:pPr>
      <w:r>
        <w:t xml:space="preserve">[93.] </w:t>
      </w:r>
      <w:r w:rsidRPr="00410046">
        <w:rPr>
          <w:b/>
        </w:rPr>
        <w:t>È necessario che si mantenga l’uso del piattino per la Comunione dei fedeli, per evitare che la sacra ostia o qualche suo frammento cada.</w:t>
      </w:r>
      <w:bookmarkStart w:id="9" w:name="_ftnref180"/>
      <w:r w:rsidR="00255BB0">
        <w:fldChar w:fldCharType="begin"/>
      </w:r>
      <w:r>
        <w:instrText xml:space="preserve"> HYPERLINK "http://www.vatican.va/roman_curia/congregations/ccdds/documents/rc_con_ccdds_doc_20040423_redemptionis-sacramentum_it.html" \l "_ftn180" \o "" </w:instrText>
      </w:r>
      <w:r w:rsidR="00255BB0">
        <w:fldChar w:fldCharType="separate"/>
      </w:r>
      <w:r>
        <w:rPr>
          <w:rStyle w:val="Collegamentoipertestuale"/>
        </w:rPr>
        <w:t>[180]</w:t>
      </w:r>
      <w:r w:rsidR="00255BB0">
        <w:fldChar w:fldCharType="end"/>
      </w:r>
      <w:bookmarkEnd w:id="9"/>
    </w:p>
    <w:p w:rsidR="00B94A48" w:rsidRDefault="00B94A48" w:rsidP="00B94A48">
      <w:pPr>
        <w:pStyle w:val="NormaleWeb"/>
      </w:pPr>
      <w:r>
        <w:t>[94.] Non è consentito ai fedeli di «prendere da sé e tanto meno passarsi tra loro di mano in mano»</w:t>
      </w:r>
      <w:bookmarkStart w:id="10" w:name="_ftnref181"/>
      <w:r w:rsidR="00255BB0">
        <w:fldChar w:fldCharType="begin"/>
      </w:r>
      <w:r>
        <w:instrText xml:space="preserve"> HYPERLINK "http://www.vatican.va/roman_curia/congregations/ccdds/documents/rc_con_ccdds_doc_20040423_redemptionis-sacramentum_it.html" \l "_ftn181" \o "" </w:instrText>
      </w:r>
      <w:r w:rsidR="00255BB0">
        <w:fldChar w:fldCharType="separate"/>
      </w:r>
      <w:r>
        <w:rPr>
          <w:rStyle w:val="Collegamentoipertestuale"/>
        </w:rPr>
        <w:t>[181]</w:t>
      </w:r>
      <w:r w:rsidR="00255BB0">
        <w:fldChar w:fldCharType="end"/>
      </w:r>
      <w:bookmarkEnd w:id="10"/>
      <w:r>
        <w:t xml:space="preserve"> la sacra ostia o il sacro calice. In merito, inoltre, va rimosso l’abuso che gli sposi durante la Messa nuziale si distribuiscano in modo reciproco la santa Comunione. </w:t>
      </w:r>
    </w:p>
    <w:p w:rsidR="00AC73D4" w:rsidRDefault="00AC73D4"/>
    <w:sectPr w:rsidR="00AC73D4" w:rsidSect="00AC73D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B94A48"/>
    <w:rsid w:val="0000183D"/>
    <w:rsid w:val="00255BB0"/>
    <w:rsid w:val="00410046"/>
    <w:rsid w:val="00811FB3"/>
    <w:rsid w:val="009822BB"/>
    <w:rsid w:val="00AC73D4"/>
    <w:rsid w:val="00B94A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73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94A48"/>
    <w:rPr>
      <w:color w:val="663300"/>
      <w:u w:val="single"/>
    </w:rPr>
  </w:style>
  <w:style w:type="paragraph" w:styleId="NormaleWeb">
    <w:name w:val="Normal (Web)"/>
    <w:basedOn w:val="Normale"/>
    <w:uiPriority w:val="99"/>
    <w:semiHidden/>
    <w:unhideWhenUsed/>
    <w:rsid w:val="00B94A48"/>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Salvatore</cp:lastModifiedBy>
  <cp:revision>2</cp:revision>
  <dcterms:created xsi:type="dcterms:W3CDTF">2011-02-04T16:24:00Z</dcterms:created>
  <dcterms:modified xsi:type="dcterms:W3CDTF">2011-02-04T16:24:00Z</dcterms:modified>
</cp:coreProperties>
</file>